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0" w:rsidRPr="00AC5D5A" w:rsidRDefault="00367CA0" w:rsidP="00367CA0">
      <w:pPr>
        <w:rPr>
          <w:b/>
        </w:rPr>
      </w:pPr>
      <w:r w:rsidRPr="00AC5D5A">
        <w:rPr>
          <w:b/>
        </w:rPr>
        <w:t xml:space="preserve">Cross-walk between State Compact/Master </w:t>
      </w:r>
      <w:proofErr w:type="gramStart"/>
      <w:r w:rsidRPr="00AC5D5A">
        <w:rPr>
          <w:b/>
        </w:rPr>
        <w:t>Plan</w:t>
      </w:r>
      <w:proofErr w:type="gramEnd"/>
      <w:r w:rsidRPr="00AC5D5A">
        <w:rPr>
          <w:b/>
        </w:rPr>
        <w:t xml:space="preserve"> </w:t>
      </w:r>
    </w:p>
    <w:p w:rsidR="00367CA0" w:rsidRDefault="00367CA0" w:rsidP="00367CA0">
      <w:proofErr w:type="gramStart"/>
      <w:r w:rsidRPr="00AC5D5A">
        <w:rPr>
          <w:b/>
        </w:rPr>
        <w:t>and</w:t>
      </w:r>
      <w:proofErr w:type="gramEnd"/>
      <w:r w:rsidRPr="00AC5D5A">
        <w:rPr>
          <w:b/>
        </w:rPr>
        <w:t xml:space="preserve"> WVNCC 2011-2016 Strategic Plan</w:t>
      </w:r>
      <w:r>
        <w:t xml:space="preserve"> </w:t>
      </w:r>
    </w:p>
    <w:p w:rsidR="00F7282C" w:rsidRDefault="00F7282C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67CA0" w:rsidTr="00367CA0">
        <w:trPr>
          <w:tblHeader/>
        </w:trPr>
        <w:tc>
          <w:tcPr>
            <w:tcW w:w="5508" w:type="dxa"/>
          </w:tcPr>
          <w:p w:rsidR="00367CA0" w:rsidRPr="00AC5D5A" w:rsidRDefault="00367CA0" w:rsidP="000F4B93">
            <w:pPr>
              <w:rPr>
                <w:b/>
              </w:rPr>
            </w:pPr>
            <w:r w:rsidRPr="00AC5D5A">
              <w:rPr>
                <w:b/>
              </w:rPr>
              <w:t>State Compact/Master Plan</w:t>
            </w:r>
          </w:p>
        </w:tc>
        <w:tc>
          <w:tcPr>
            <w:tcW w:w="5508" w:type="dxa"/>
          </w:tcPr>
          <w:p w:rsidR="00367CA0" w:rsidRPr="00AC5D5A" w:rsidRDefault="00367CA0" w:rsidP="000F4B93">
            <w:pPr>
              <w:rPr>
                <w:b/>
              </w:rPr>
            </w:pPr>
            <w:r w:rsidRPr="00AC5D5A">
              <w:rPr>
                <w:b/>
              </w:rPr>
              <w:t>WVNCC Objective/Action Item</w:t>
            </w:r>
          </w:p>
        </w:tc>
      </w:tr>
      <w:tr w:rsidR="00367CA0" w:rsidTr="00367CA0">
        <w:tc>
          <w:tcPr>
            <w:tcW w:w="5508" w:type="dxa"/>
          </w:tcPr>
          <w:p w:rsidR="00367CA0" w:rsidRPr="00AC5D5A" w:rsidRDefault="00367CA0" w:rsidP="000F4B93">
            <w:pPr>
              <w:jc w:val="left"/>
              <w:rPr>
                <w:b/>
              </w:rPr>
            </w:pPr>
            <w:r>
              <w:rPr>
                <w:b/>
              </w:rPr>
              <w:t>Strategic Priorities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Producing more graduates.</w:t>
            </w:r>
          </w:p>
        </w:tc>
        <w:tc>
          <w:tcPr>
            <w:tcW w:w="5508" w:type="dxa"/>
          </w:tcPr>
          <w:p w:rsidR="00367CA0" w:rsidRDefault="004A4C7F" w:rsidP="00367CA0">
            <w:pPr>
              <w:jc w:val="left"/>
            </w:pPr>
            <w:proofErr w:type="gramStart"/>
            <w:r>
              <w:t>1.1  Meet</w:t>
            </w:r>
            <w:proofErr w:type="gramEnd"/>
            <w:r>
              <w:t xml:space="preserve"> the state requirement for graduation rate.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Promoting strong employer partnerships</w:t>
            </w:r>
          </w:p>
        </w:tc>
        <w:tc>
          <w:tcPr>
            <w:tcW w:w="5508" w:type="dxa"/>
          </w:tcPr>
          <w:p w:rsidR="00367CA0" w:rsidRDefault="004A4C7F" w:rsidP="007A6796">
            <w:pPr>
              <w:jc w:val="left"/>
              <w:rPr>
                <w:sz w:val="22"/>
                <w:szCs w:val="22"/>
              </w:rPr>
            </w:pPr>
            <w:r>
              <w:t xml:space="preserve">3.3(1)  </w:t>
            </w:r>
            <w:r w:rsidR="007A6796" w:rsidRPr="007E5060">
              <w:rPr>
                <w:i/>
                <w:sz w:val="22"/>
                <w:szCs w:val="22"/>
              </w:rPr>
              <w:t xml:space="preserve"> </w:t>
            </w:r>
            <w:r w:rsidR="007A6796" w:rsidRPr="007A6796">
              <w:rPr>
                <w:sz w:val="22"/>
                <w:szCs w:val="22"/>
              </w:rPr>
              <w:t xml:space="preserve">Actively </w:t>
            </w:r>
            <w:proofErr w:type="gramStart"/>
            <w:r w:rsidR="007A6796" w:rsidRPr="007A6796">
              <w:rPr>
                <w:sz w:val="22"/>
                <w:szCs w:val="22"/>
              </w:rPr>
              <w:t>participate</w:t>
            </w:r>
            <w:proofErr w:type="gramEnd"/>
            <w:r w:rsidR="007A6796" w:rsidRPr="007A6796">
              <w:rPr>
                <w:sz w:val="22"/>
                <w:szCs w:val="22"/>
              </w:rPr>
              <w:t xml:space="preserve"> in industry sector partnerships, consistent with CTC goals</w:t>
            </w:r>
            <w:r w:rsidR="007A6796">
              <w:rPr>
                <w:sz w:val="22"/>
                <w:szCs w:val="22"/>
              </w:rPr>
              <w:t>.</w:t>
            </w:r>
          </w:p>
          <w:p w:rsidR="007A6796" w:rsidRDefault="007A6796" w:rsidP="007A6796">
            <w:pPr>
              <w:jc w:val="left"/>
            </w:pPr>
            <w:r>
              <w:rPr>
                <w:sz w:val="22"/>
                <w:szCs w:val="22"/>
              </w:rPr>
              <w:t xml:space="preserve">1.5(4) </w:t>
            </w:r>
            <w:r w:rsidRPr="007A6796">
              <w:t>Use employer relations advisory committees to network students</w:t>
            </w:r>
          </w:p>
          <w:p w:rsidR="007A6796" w:rsidRDefault="007A6796" w:rsidP="007A6796">
            <w:pPr>
              <w:jc w:val="left"/>
            </w:pPr>
            <w:r>
              <w:t xml:space="preserve">5.1(6)  </w:t>
            </w:r>
            <w:r w:rsidRPr="007A6796">
              <w:t>Cultivate new and strengthen existing partnerships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Serving more adults</w:t>
            </w:r>
          </w:p>
        </w:tc>
        <w:tc>
          <w:tcPr>
            <w:tcW w:w="5508" w:type="dxa"/>
          </w:tcPr>
          <w:p w:rsidR="00367CA0" w:rsidRDefault="00DC27EF" w:rsidP="00367CA0">
            <w:pPr>
              <w:jc w:val="left"/>
            </w:pPr>
            <w:r>
              <w:t xml:space="preserve">1.2(7)  </w:t>
            </w:r>
            <w:r w:rsidRPr="00DC27EF">
              <w:t>Increase retention of evening and part-time students</w:t>
            </w:r>
          </w:p>
          <w:p w:rsidR="00DC27EF" w:rsidRDefault="00DC27EF" w:rsidP="00367CA0">
            <w:pPr>
              <w:jc w:val="left"/>
            </w:pPr>
            <w:r>
              <w:t xml:space="preserve">1.2(9)  </w:t>
            </w:r>
            <w:r w:rsidRPr="00DC27EF">
              <w:t>Address retention issues of select populations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Building and maintaining facilities</w:t>
            </w:r>
          </w:p>
        </w:tc>
        <w:tc>
          <w:tcPr>
            <w:tcW w:w="5508" w:type="dxa"/>
          </w:tcPr>
          <w:p w:rsidR="00367CA0" w:rsidRDefault="00DC27EF" w:rsidP="00367CA0">
            <w:pPr>
              <w:jc w:val="left"/>
            </w:pPr>
            <w:r>
              <w:t xml:space="preserve">4.2  </w:t>
            </w:r>
            <w:r w:rsidRPr="00DC27EF">
              <w:t>Enhance facilities to meet the growth and expansion needs of the college</w:t>
            </w:r>
          </w:p>
          <w:p w:rsidR="00074940" w:rsidRDefault="00A03B81" w:rsidP="00367CA0">
            <w:pPr>
              <w:jc w:val="left"/>
            </w:pPr>
            <w:r>
              <w:t>4.2(1)-(3)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0B3B">
        <w:tc>
          <w:tcPr>
            <w:tcW w:w="5508" w:type="dxa"/>
            <w:tcBorders>
              <w:bottom w:val="single" w:sz="4" w:space="0" w:color="auto"/>
            </w:tcBorders>
          </w:tcPr>
          <w:p w:rsidR="00367CA0" w:rsidRPr="00996134" w:rsidRDefault="00367CA0" w:rsidP="000F4B93">
            <w:pPr>
              <w:jc w:val="left"/>
              <w:rPr>
                <w:b/>
              </w:rPr>
            </w:pPr>
            <w:r>
              <w:rPr>
                <w:b/>
              </w:rPr>
              <w:t>Goal (Measure)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367CA0" w:rsidP="00367CA0">
            <w:pPr>
              <w:jc w:val="left"/>
            </w:pPr>
          </w:p>
        </w:tc>
      </w:tr>
      <w:tr w:rsidR="00367CA0" w:rsidTr="00360B3B"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0F4B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Produce graduates with the general education and technical skills needed to be successful in the workplace or subsequent education.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1a.  Associate degrees awarded</w:t>
            </w:r>
          </w:p>
        </w:tc>
        <w:tc>
          <w:tcPr>
            <w:tcW w:w="5508" w:type="dxa"/>
          </w:tcPr>
          <w:p w:rsidR="00367CA0" w:rsidRDefault="00A03B81" w:rsidP="00367CA0">
            <w:pPr>
              <w:jc w:val="left"/>
            </w:pPr>
            <w:proofErr w:type="gramStart"/>
            <w:r>
              <w:t>1.1  Meet</w:t>
            </w:r>
            <w:proofErr w:type="gramEnd"/>
            <w:r>
              <w:t xml:space="preserve"> the state requirement for graduation rate.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1b.  Certificate degrees awarded</w:t>
            </w:r>
          </w:p>
        </w:tc>
        <w:tc>
          <w:tcPr>
            <w:tcW w:w="5508" w:type="dxa"/>
          </w:tcPr>
          <w:p w:rsidR="00367CA0" w:rsidRDefault="00A03B81" w:rsidP="00367CA0">
            <w:pPr>
              <w:jc w:val="left"/>
            </w:pPr>
            <w:r>
              <w:t xml:space="preserve">1.1(4)  </w:t>
            </w:r>
            <w:r w:rsidRPr="00A03B81">
              <w:t>Develop strategies to improve health care certificate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1c.  Total degrees awarded</w:t>
            </w:r>
          </w:p>
        </w:tc>
        <w:tc>
          <w:tcPr>
            <w:tcW w:w="5508" w:type="dxa"/>
          </w:tcPr>
          <w:p w:rsidR="00367CA0" w:rsidRDefault="00A03B81" w:rsidP="00367CA0">
            <w:pPr>
              <w:jc w:val="left"/>
            </w:pPr>
            <w:proofErr w:type="gramStart"/>
            <w:r>
              <w:t>1.1  Meet</w:t>
            </w:r>
            <w:proofErr w:type="gramEnd"/>
            <w:r>
              <w:t xml:space="preserve"> the state requirement for graduation rate.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1d.  Student success rate</w:t>
            </w:r>
          </w:p>
        </w:tc>
        <w:tc>
          <w:tcPr>
            <w:tcW w:w="5508" w:type="dxa"/>
          </w:tcPr>
          <w:p w:rsidR="00A03B81" w:rsidRDefault="00A03B81" w:rsidP="00A03B81">
            <w:pPr>
              <w:jc w:val="left"/>
            </w:pPr>
            <w:r>
              <w:t xml:space="preserve">1.2(2)  </w:t>
            </w:r>
            <w:r w:rsidRPr="00A03B81">
              <w:t>Implement Plans from the Student Success Summit</w:t>
            </w:r>
          </w:p>
          <w:p w:rsidR="00A03B81" w:rsidRDefault="00A03B81" w:rsidP="00A03B81">
            <w:pPr>
              <w:jc w:val="left"/>
            </w:pPr>
            <w:r>
              <w:t xml:space="preserve">1.2(3)  </w:t>
            </w:r>
            <w:r w:rsidRPr="00A03B81">
              <w:t>Implement mandatory orientation or workshops</w:t>
            </w:r>
          </w:p>
          <w:p w:rsidR="00A03B81" w:rsidRDefault="00A03B81" w:rsidP="00A03B81">
            <w:pPr>
              <w:jc w:val="left"/>
            </w:pPr>
            <w:r>
              <w:t xml:space="preserve">1.2(5)  </w:t>
            </w:r>
            <w:r w:rsidRPr="00A03B81">
              <w:t>Implement recommendations from advising process review to improve advising and resource utilization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1e.  Retention rate</w:t>
            </w:r>
          </w:p>
        </w:tc>
        <w:tc>
          <w:tcPr>
            <w:tcW w:w="5508" w:type="dxa"/>
          </w:tcPr>
          <w:p w:rsidR="00367CA0" w:rsidRDefault="00A03B81" w:rsidP="00367CA0">
            <w:pPr>
              <w:jc w:val="left"/>
            </w:pPr>
            <w:r>
              <w:t>1.2  Increase retention rate by 6% over 5 year period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1f.  Licensure passage rate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1g.  Placement rate</w:t>
            </w:r>
          </w:p>
        </w:tc>
        <w:tc>
          <w:tcPr>
            <w:tcW w:w="5508" w:type="dxa"/>
          </w:tcPr>
          <w:p w:rsidR="00367CA0" w:rsidRDefault="00A03B81" w:rsidP="00367CA0">
            <w:pPr>
              <w:jc w:val="left"/>
            </w:pPr>
            <w:r>
              <w:t xml:space="preserve">1.5  </w:t>
            </w:r>
            <w:r w:rsidR="003F0086" w:rsidRPr="003F0086">
              <w:t>Develop and implement a comprehensive Career Planning and Preparedness Program</w:t>
            </w:r>
          </w:p>
          <w:p w:rsidR="003F0086" w:rsidRDefault="003F0086" w:rsidP="00367CA0">
            <w:pPr>
              <w:jc w:val="left"/>
            </w:pPr>
            <w:r>
              <w:t>1.5(1)-(7)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1h.  Success developmental math</w:t>
            </w:r>
          </w:p>
        </w:tc>
        <w:tc>
          <w:tcPr>
            <w:tcW w:w="5508" w:type="dxa"/>
          </w:tcPr>
          <w:p w:rsidR="00367CA0" w:rsidRDefault="003F0086" w:rsidP="003F0086">
            <w:pPr>
              <w:jc w:val="left"/>
            </w:pPr>
            <w:r>
              <w:t xml:space="preserve">5.2  </w:t>
            </w:r>
            <w:r w:rsidRPr="00D31AF4">
              <w:t>Implement  academic best practices</w:t>
            </w:r>
          </w:p>
          <w:p w:rsidR="009C05DF" w:rsidRDefault="009C05DF" w:rsidP="003F0086">
            <w:pPr>
              <w:jc w:val="left"/>
            </w:pPr>
            <w:r>
              <w:t>5.2(1)-(3)</w:t>
            </w:r>
          </w:p>
        </w:tc>
      </w:tr>
      <w:tr w:rsidR="00367CA0" w:rsidTr="00360B3B"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367CA0" w:rsidP="000F4B93">
            <w:pPr>
              <w:jc w:val="left"/>
            </w:pPr>
            <w:r>
              <w:t>1i.  Success developmental English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C05DF" w:rsidRDefault="009C05DF" w:rsidP="009C05DF">
            <w:pPr>
              <w:jc w:val="left"/>
            </w:pPr>
            <w:r>
              <w:t xml:space="preserve">5.2  </w:t>
            </w:r>
            <w:r w:rsidRPr="00D31AF4">
              <w:t>Implement  academic best practices</w:t>
            </w:r>
          </w:p>
          <w:p w:rsidR="00367CA0" w:rsidRDefault="009C05DF" w:rsidP="009C05DF">
            <w:pPr>
              <w:jc w:val="left"/>
            </w:pPr>
            <w:r>
              <w:t>5.2(1)-(3)</w:t>
            </w:r>
          </w:p>
        </w:tc>
      </w:tr>
      <w:tr w:rsidR="00367CA0" w:rsidTr="00360B3B"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0F4B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Provide workforce development programs that meet the demands of West Virginia’s employers and enhance West Virginia’s economic development efforts.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2a.  Training contact hours delivered</w:t>
            </w:r>
          </w:p>
        </w:tc>
        <w:tc>
          <w:tcPr>
            <w:tcW w:w="5508" w:type="dxa"/>
          </w:tcPr>
          <w:p w:rsidR="00367CA0" w:rsidRDefault="009C05DF" w:rsidP="00367CA0">
            <w:pPr>
              <w:jc w:val="left"/>
            </w:pPr>
            <w:r>
              <w:t xml:space="preserve">3.1(1)  </w:t>
            </w:r>
            <w:r w:rsidRPr="009C05DF">
              <w:t>Increase enrollment in workforce programs by 2% per year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2b.  Number employers provided training</w:t>
            </w:r>
          </w:p>
        </w:tc>
        <w:tc>
          <w:tcPr>
            <w:tcW w:w="5508" w:type="dxa"/>
          </w:tcPr>
          <w:p w:rsidR="00367CA0" w:rsidRDefault="009C05DF" w:rsidP="00360B3B">
            <w:pPr>
              <w:jc w:val="left"/>
            </w:pPr>
            <w:r>
              <w:t xml:space="preserve">3.1(2)  </w:t>
            </w:r>
            <w:r w:rsidRPr="009C05DF">
              <w:t xml:space="preserve">Increase number of new employers served by </w:t>
            </w:r>
            <w:r w:rsidRPr="009C05DF">
              <w:lastRenderedPageBreak/>
              <w:t>workforce by 2% per year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lastRenderedPageBreak/>
              <w:t>2c.  Career-technical associate degrees awarded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2d.  Career-technical certificate degrees awarded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2e.  Career-technical skill set certificates awarded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2f.  Total career-technical degrees awarded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2g.  New technical programs implemented</w:t>
            </w:r>
          </w:p>
        </w:tc>
        <w:tc>
          <w:tcPr>
            <w:tcW w:w="5508" w:type="dxa"/>
          </w:tcPr>
          <w:p w:rsidR="00367CA0" w:rsidRDefault="00360B3B" w:rsidP="00367CA0">
            <w:pPr>
              <w:jc w:val="left"/>
            </w:pPr>
            <w:r>
              <w:t xml:space="preserve">3.2  </w:t>
            </w:r>
            <w:r w:rsidRPr="00360B3B">
              <w:t>Add three new technical degree programs</w:t>
            </w:r>
          </w:p>
        </w:tc>
      </w:tr>
      <w:tr w:rsidR="00367CA0" w:rsidTr="00135C9B"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367CA0" w:rsidP="000F4B93">
            <w:pPr>
              <w:jc w:val="left"/>
            </w:pPr>
            <w:r>
              <w:t>2h.  Regional industry sector partnerships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360B3B" w:rsidP="00367CA0">
            <w:pPr>
              <w:jc w:val="left"/>
            </w:pPr>
            <w:r>
              <w:t xml:space="preserve">3.3(1)  </w:t>
            </w:r>
            <w:r w:rsidRPr="00360B3B">
              <w:rPr>
                <w:sz w:val="22"/>
                <w:szCs w:val="22"/>
              </w:rPr>
              <w:t>Actively participate in industry sector partnerships, consistent with CTC goals</w:t>
            </w:r>
          </w:p>
        </w:tc>
      </w:tr>
      <w:tr w:rsidR="00367CA0" w:rsidTr="00135C9B"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0F4B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Provide access to affordable, comprehensive community and technical college education in all regions of West Virginia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3a.  Annual headcount enrollment</w:t>
            </w:r>
          </w:p>
        </w:tc>
        <w:tc>
          <w:tcPr>
            <w:tcW w:w="5508" w:type="dxa"/>
          </w:tcPr>
          <w:p w:rsidR="00367CA0" w:rsidRDefault="00135C9B" w:rsidP="00367CA0">
            <w:pPr>
              <w:jc w:val="left"/>
            </w:pPr>
            <w:r>
              <w:t xml:space="preserve">1.3  </w:t>
            </w:r>
            <w:r w:rsidRPr="00135C9B">
              <w:t>Institute engaging families using best practices</w:t>
            </w:r>
          </w:p>
          <w:p w:rsidR="00135C9B" w:rsidRPr="00135C9B" w:rsidRDefault="00135C9B" w:rsidP="00135C9B">
            <w:pPr>
              <w:jc w:val="left"/>
              <w:rPr>
                <w:iCs/>
              </w:rPr>
            </w:pPr>
            <w:r w:rsidRPr="00135C9B">
              <w:rPr>
                <w:iCs/>
              </w:rPr>
              <w:t xml:space="preserve">2.2 </w:t>
            </w:r>
            <w:r w:rsidR="00FF28B2">
              <w:rPr>
                <w:iCs/>
              </w:rPr>
              <w:t xml:space="preserve"> </w:t>
            </w:r>
            <w:r w:rsidRPr="00135C9B">
              <w:rPr>
                <w:iCs/>
              </w:rPr>
              <w:t>Continue to increase recruitment efforts</w:t>
            </w:r>
          </w:p>
          <w:p w:rsidR="00135C9B" w:rsidRDefault="00FF28B2" w:rsidP="00FF28B2">
            <w:pPr>
              <w:jc w:val="left"/>
            </w:pPr>
            <w:r w:rsidRPr="00FF28B2">
              <w:rPr>
                <w:bCs/>
                <w:iCs/>
              </w:rPr>
              <w:t>2.3 Enhance services to students with disabilities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3b.  Age 25 and older annual headcount enrollment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3c.  Headcount enrollment in underserved counties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3d.  Average tuition rate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135C9B"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367CA0" w:rsidP="000F4B93">
            <w:pPr>
              <w:jc w:val="left"/>
            </w:pPr>
            <w:r>
              <w:t>3e.  Student financial aid participation rate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67CA0" w:rsidRDefault="00FF28B2" w:rsidP="00FF28B2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 w:rsidRPr="00FF28B2">
              <w:rPr>
                <w:b w:val="0"/>
                <w:bCs w:val="0"/>
                <w:i w:val="0"/>
                <w:iCs w:val="0"/>
              </w:rPr>
              <w:t>2.1 Strengthen the use of financial aid for maximum institutional and student benefit</w:t>
            </w:r>
          </w:p>
          <w:p w:rsidR="00FF28B2" w:rsidRPr="00FF28B2" w:rsidRDefault="00FF28B2" w:rsidP="00FF28B2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i w:val="0"/>
              </w:rPr>
              <w:t>1.2</w:t>
            </w:r>
            <w:r w:rsidRPr="00FF28B2">
              <w:rPr>
                <w:b w:val="0"/>
                <w:i w:val="0"/>
              </w:rPr>
              <w:t xml:space="preserve">(12) </w:t>
            </w:r>
            <w:r>
              <w:rPr>
                <w:b w:val="0"/>
                <w:i w:val="0"/>
              </w:rPr>
              <w:t xml:space="preserve"> </w:t>
            </w:r>
            <w:r w:rsidRPr="00FF28B2">
              <w:rPr>
                <w:b w:val="0"/>
                <w:i w:val="0"/>
              </w:rPr>
              <w:t>Determine financial aid impact on success</w:t>
            </w:r>
          </w:p>
        </w:tc>
      </w:tr>
      <w:tr w:rsidR="00367CA0" w:rsidTr="00135C9B"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0F4B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Provide resources to meet the needs of community and technical college students and employees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4a.  External funding generated</w:t>
            </w:r>
          </w:p>
        </w:tc>
        <w:tc>
          <w:tcPr>
            <w:tcW w:w="5508" w:type="dxa"/>
          </w:tcPr>
          <w:p w:rsidR="002C5C10" w:rsidRPr="002C5C10" w:rsidRDefault="002C5C10" w:rsidP="002C5C10">
            <w:pPr>
              <w:jc w:val="left"/>
            </w:pPr>
            <w:r w:rsidRPr="002C5C10">
              <w:t>4.1 Increase outside funding sources</w:t>
            </w:r>
          </w:p>
          <w:p w:rsidR="00367CA0" w:rsidRDefault="002C5C10" w:rsidP="00367CA0">
            <w:pPr>
              <w:jc w:val="left"/>
            </w:pPr>
            <w:r>
              <w:t>4.1(2)-(8)</w:t>
            </w: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4b.  Cost savings from efficiency measures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4c.  Reduction in funding gap with peer institutions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4d.  Reduction in faculty salary gap with national average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4e.  Percentage classified staff on scale</w:t>
            </w:r>
          </w:p>
        </w:tc>
        <w:tc>
          <w:tcPr>
            <w:tcW w:w="5508" w:type="dxa"/>
          </w:tcPr>
          <w:p w:rsidR="00367CA0" w:rsidRDefault="00367CA0" w:rsidP="00367CA0">
            <w:pPr>
              <w:jc w:val="left"/>
            </w:pPr>
          </w:p>
        </w:tc>
      </w:tr>
      <w:tr w:rsidR="00367CA0" w:rsidTr="00367CA0">
        <w:tc>
          <w:tcPr>
            <w:tcW w:w="5508" w:type="dxa"/>
          </w:tcPr>
          <w:p w:rsidR="00367CA0" w:rsidRDefault="00367CA0" w:rsidP="000F4B93">
            <w:pPr>
              <w:jc w:val="left"/>
            </w:pPr>
            <w:r>
              <w:t>4f.  Credit hours through distance education and hybrid courses</w:t>
            </w:r>
          </w:p>
        </w:tc>
        <w:tc>
          <w:tcPr>
            <w:tcW w:w="5508" w:type="dxa"/>
          </w:tcPr>
          <w:p w:rsidR="00367CA0" w:rsidRDefault="002C5C10" w:rsidP="00367CA0">
            <w:pPr>
              <w:jc w:val="left"/>
            </w:pPr>
            <w:r w:rsidRPr="002C5C10">
              <w:t>5.4 Enhance distance learning opportunities</w:t>
            </w:r>
          </w:p>
          <w:p w:rsidR="002C5C10" w:rsidRPr="002C5C10" w:rsidRDefault="002C5C10" w:rsidP="00367CA0">
            <w:pPr>
              <w:jc w:val="left"/>
            </w:pPr>
            <w:r>
              <w:t>5.4(1)-(4)</w:t>
            </w:r>
          </w:p>
        </w:tc>
      </w:tr>
    </w:tbl>
    <w:p w:rsidR="00367CA0" w:rsidRDefault="00367CA0" w:rsidP="00367CA0">
      <w:pPr>
        <w:jc w:val="left"/>
      </w:pPr>
    </w:p>
    <w:sectPr w:rsidR="00367CA0" w:rsidSect="00367CA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A0" w:rsidRDefault="00367CA0" w:rsidP="00367CA0">
      <w:r>
        <w:separator/>
      </w:r>
    </w:p>
  </w:endnote>
  <w:endnote w:type="continuationSeparator" w:id="0">
    <w:p w:rsidR="00367CA0" w:rsidRDefault="00367CA0" w:rsidP="003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A0" w:rsidRDefault="00367CA0">
    <w:pPr>
      <w:pStyle w:val="Footer"/>
    </w:pPr>
    <w:r>
      <w:t>6/7/11</w:t>
    </w:r>
  </w:p>
  <w:p w:rsidR="00367CA0" w:rsidRDefault="00367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A0" w:rsidRDefault="00367CA0" w:rsidP="00367CA0">
      <w:r>
        <w:separator/>
      </w:r>
    </w:p>
  </w:footnote>
  <w:footnote w:type="continuationSeparator" w:id="0">
    <w:p w:rsidR="00367CA0" w:rsidRDefault="00367CA0" w:rsidP="0036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F79"/>
    <w:multiLevelType w:val="hybridMultilevel"/>
    <w:tmpl w:val="0520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7869"/>
    <w:multiLevelType w:val="hybridMultilevel"/>
    <w:tmpl w:val="0F36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A0"/>
    <w:rsid w:val="00022CF2"/>
    <w:rsid w:val="00033864"/>
    <w:rsid w:val="00074940"/>
    <w:rsid w:val="00135C9B"/>
    <w:rsid w:val="00141982"/>
    <w:rsid w:val="002C5C10"/>
    <w:rsid w:val="00360B3B"/>
    <w:rsid w:val="00367CA0"/>
    <w:rsid w:val="003F0086"/>
    <w:rsid w:val="004A4C7F"/>
    <w:rsid w:val="007A6796"/>
    <w:rsid w:val="007E5911"/>
    <w:rsid w:val="009C05DF"/>
    <w:rsid w:val="00A02B45"/>
    <w:rsid w:val="00A03B81"/>
    <w:rsid w:val="00A43626"/>
    <w:rsid w:val="00CE5ACB"/>
    <w:rsid w:val="00D31AF4"/>
    <w:rsid w:val="00DC27EF"/>
    <w:rsid w:val="00F7282C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A0"/>
  </w:style>
  <w:style w:type="paragraph" w:styleId="Footer">
    <w:name w:val="footer"/>
    <w:basedOn w:val="Normal"/>
    <w:link w:val="FooterChar"/>
    <w:uiPriority w:val="99"/>
    <w:unhideWhenUsed/>
    <w:rsid w:val="0036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A0"/>
  </w:style>
  <w:style w:type="paragraph" w:styleId="BalloonText">
    <w:name w:val="Balloon Text"/>
    <w:basedOn w:val="Normal"/>
    <w:link w:val="BalloonTextChar"/>
    <w:uiPriority w:val="99"/>
    <w:semiHidden/>
    <w:unhideWhenUsed/>
    <w:rsid w:val="0036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F28B2"/>
    <w:pPr>
      <w:jc w:val="left"/>
    </w:pPr>
    <w:rPr>
      <w:rFonts w:eastAsia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FF28B2"/>
    <w:rPr>
      <w:rFonts w:eastAsia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2011-06-08T03:37:00Z</dcterms:created>
  <dcterms:modified xsi:type="dcterms:W3CDTF">2011-06-09T04:08:00Z</dcterms:modified>
</cp:coreProperties>
</file>